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GFS Didot" w:hAnsi="GFS Didot"/>
          <w:color w:val="F740A7"/>
          <w:sz w:val="96"/>
        </w:rPr>
        <w:br/>
        <w:br/>
        <w:t>Chrystal Math</w:t>
      </w:r>
    </w:p>
    <w:p>
      <w:pPr>
        <w:jc w:val="center"/>
      </w:pPr>
      <w:r>
        <w:rPr>
          <w:rFonts w:ascii="GFS Didot" w:hAnsi="GFS Didot"/>
          <w:color w:val="08D4F3"/>
          <w:sz w:val="50"/>
        </w:rPr>
        <w:t>Calculated Chaos.</w:t>
      </w:r>
    </w:p>
    <w:p>
      <w:pPr>
        <w:jc w:val="center"/>
      </w:pPr>
      <w:r>
        <w:rPr>
          <w:rFonts w:ascii="Dosis" w:hAnsi="Dosis"/>
          <w:color w:val="24172E"/>
          <w:sz w:val="24"/>
        </w:rPr>
        <w:br/>
        <w:t>CORPORATE DESIGN / CORPORATE IDENTITY</w:t>
        <w:br/>
        <w:t>Designsystem für Bühne, Web, Social Media und Druck</w:t>
      </w:r>
    </w:p>
    <w:p>
      <w:r>
        <w:drawing>
          <wp:inline xmlns:a="http://schemas.openxmlformats.org/drawingml/2006/main" xmlns:pic="http://schemas.openxmlformats.org/drawingml/2006/picture">
            <wp:extent cx="6120000" cy="29376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lette_overview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29376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Style w:val="Heading1"/>
      </w:pPr>
      <w:r>
        <w:t>1. Markenidee</w:t>
      </w:r>
    </w:p>
    <w:p>
      <w:pPr>
        <w:pStyle w:val="Heading2"/>
      </w:pPr>
      <w:r>
        <w:t>Calculated Chaos</w:t>
      </w:r>
    </w:p>
    <w:p>
      <w:r>
        <w:t>Chrystal Math verbindet präzise Konstruktion mit spielerischem Kontrollverlust: Mathematik und Chemie treffen auf Glamour, Humor und soziale Verbindung.</w:t>
      </w:r>
    </w:p>
    <w:p>
      <w:pPr>
        <w:pStyle w:val="Heading2"/>
      </w:pPr>
      <w:r>
        <w:t>Vier Prinzipien</w:t>
      </w:r>
    </w:p>
    <w:p>
      <w:r>
        <w:t>Intelligent Glamour · Connected Chaos · Calculated Performance · Precisely Unpredictable.</w:t>
      </w:r>
    </w:p>
    <w:p>
      <w:pPr>
        <w:pStyle w:val="Heading2"/>
      </w:pPr>
      <w:r>
        <w:t>Markenton</w:t>
      </w:r>
    </w:p>
    <w:p>
      <w:r>
        <w:t>Klug, scharf, warm, queer, selbstbestimmt und ein wenig unberechenbar. Nicht steril, infantil oder beliebig neon.</w:t>
      </w:r>
    </w:p>
    <w:p/>
    <w:p>
      <w:pPr>
        <w:pStyle w:val="Heading1"/>
      </w:pPr>
      <w:r>
        <w:t>2. Logo und Wortmarke</w:t>
      </w:r>
    </w:p>
    <w:p>
      <w:pPr>
        <w:pStyle w:val="Heading2"/>
      </w:pPr>
      <w:r>
        <w:t>Vektor statt Live-Text</w:t>
      </w:r>
    </w:p>
    <w:p>
      <w:r>
        <w:t>Die Hauptwortmarke ist keine unveränderte Standardschrift. Das C, M, die langen Diagonalen, der Zirkel als A sowie chemische Knoten sind eigene Vektorelemente. Das Logo wird daher als SVG eingesetzt.</w:t>
      </w:r>
    </w:p>
    <w:p>
      <w:pPr>
        <w:pStyle w:val="Heading2"/>
      </w:pPr>
      <w:r>
        <w:t>Schutzraum</w:t>
      </w:r>
    </w:p>
    <w:p>
      <w:r>
        <w:t>Mindestens die Höhe eines Versal-M rund um die Wortmarke freihalten.</w:t>
      </w:r>
    </w:p>
    <w:p>
      <w:pPr>
        <w:pStyle w:val="Heading2"/>
      </w:pPr>
      <w:r>
        <w:t>Kleine Größen</w:t>
      </w:r>
    </w:p>
    <w:p>
      <w:r>
        <w:t>Unter ca. 45 mm Breite die reduzierte Version ohne feine Messlinien und Glow nutzen.</w:t>
      </w:r>
    </w:p>
    <w:p/>
    <w:p>
      <w:pPr>
        <w:pStyle w:val="Heading1"/>
      </w:pPr>
      <w:r>
        <w:t>3. Farbwelt</w:t>
      </w:r>
    </w:p>
    <w:p>
      <w:pPr>
        <w:pStyle w:val="Heading2"/>
      </w:pPr>
      <w:r>
        <w:t>Neuer Grundton</w:t>
      </w:r>
    </w:p>
    <w:p>
      <w:r>
        <w:t>Cosmic Aubergine #140B24 ersetzt reines Schwarz. Die Farbe bleibt bühnenhaft, wirkt aber eigenständiger und lässt Akzente kontrolliert leuchten.</w:t>
      </w:r>
    </w:p>
    <w:p>
      <w:pPr>
        <w:pStyle w:val="Heading2"/>
      </w:pPr>
      <w:r>
        <w:t>Hierarchie</w:t>
      </w:r>
    </w:p>
    <w:p>
      <w:r>
        <w:t>Etwa 70 % Bühne und Fläche, 20 % Text und ruhige Elemente, 10 % Akzent. Lime und Gold nur als Mikroakzent.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437"/>
        <w:gridCol w:w="3437"/>
        <w:gridCol w:w="3437"/>
      </w:tblGrid>
      <w:tr>
        <w:tc>
          <w:tcPr>
            <w:tcW w:type="dxa" w:w="3437"/>
            <w:shd w:fill="140B24"/>
          </w:tcPr>
          <w:p>
            <w:r>
              <w:rPr>
                <w:color w:val="F8F4FA"/>
              </w:rPr>
              <w:t>Farbe</w:t>
            </w:r>
          </w:p>
        </w:tc>
        <w:tc>
          <w:tcPr>
            <w:tcW w:type="dxa" w:w="3437"/>
            <w:shd w:fill="140B24"/>
          </w:tcPr>
          <w:p>
            <w:r>
              <w:rPr>
                <w:color w:val="F8F4FA"/>
              </w:rPr>
              <w:t>Hex</w:t>
            </w:r>
          </w:p>
        </w:tc>
        <w:tc>
          <w:tcPr>
            <w:tcW w:type="dxa" w:w="3437"/>
            <w:shd w:fill="140B24"/>
          </w:tcPr>
          <w:p>
            <w:r>
              <w:rPr>
                <w:color w:val="F8F4FA"/>
              </w:rPr>
              <w:t>Einsatz</w:t>
            </w:r>
          </w:p>
        </w:tc>
      </w:tr>
      <w:tr>
        <w:tc>
          <w:tcPr>
            <w:tcW w:type="dxa" w:w="3437"/>
            <w:shd w:fill="140B2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Cosmic Aubergine</w:t>
            </w:r>
          </w:p>
        </w:tc>
        <w:tc>
          <w:tcPr>
            <w:tcW w:type="dxa" w:w="3437"/>
            <w:shd w:fill="140B2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#140B24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Primärer Bühnenhintergrund; ersetzt reines Schwarz.</w:t>
            </w:r>
          </w:p>
        </w:tc>
      </w:tr>
      <w:tr>
        <w:tc>
          <w:tcPr>
            <w:tcW w:type="dxa" w:w="3437"/>
            <w:shd w:fill="21143A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Nebula Surface</w:t>
            </w:r>
          </w:p>
        </w:tc>
        <w:tc>
          <w:tcPr>
            <w:tcW w:type="dxa" w:w="3437"/>
            <w:shd w:fill="21143A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#21143A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Flächen, Karten, Navigation und Abstufung.</w:t>
            </w:r>
          </w:p>
        </w:tc>
      </w:tr>
      <w:tr>
        <w:tc>
          <w:tcPr>
            <w:tcW w:type="dxa" w:w="3437"/>
            <w:shd w:fill="2A1A4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Raised Surface</w:t>
            </w:r>
          </w:p>
        </w:tc>
        <w:tc>
          <w:tcPr>
            <w:tcW w:type="dxa" w:w="3437"/>
            <w:shd w:fill="2A1A44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#2A1A44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Hover, modale Flächen und kleine Highlights.</w:t>
            </w:r>
          </w:p>
        </w:tc>
      </w:tr>
      <w:tr>
        <w:tc>
          <w:tcPr>
            <w:tcW w:type="dxa" w:w="3437"/>
            <w:shd w:fill="FFF7FB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Starlight</w:t>
            </w:r>
          </w:p>
        </w:tc>
        <w:tc>
          <w:tcPr>
            <w:tcW w:type="dxa" w:w="3437"/>
            <w:shd w:fill="FFF7FB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#FFF7FB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Heller Hintergrund für redaktionelle und ruhige Anwendungen.</w:t>
            </w:r>
          </w:p>
        </w:tc>
      </w:tr>
      <w:tr>
        <w:tc>
          <w:tcPr>
            <w:tcW w:type="dxa" w:w="3437"/>
            <w:shd w:fill="F8F4FA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Stage White</w:t>
            </w:r>
          </w:p>
        </w:tc>
        <w:tc>
          <w:tcPr>
            <w:tcW w:type="dxa" w:w="3437"/>
            <w:shd w:fill="F8F4FA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#F8F4FA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Primärer Text auf dunklen Flächen.</w:t>
            </w:r>
          </w:p>
        </w:tc>
      </w:tr>
      <w:tr>
        <w:tc>
          <w:tcPr>
            <w:tcW w:type="dxa" w:w="3437"/>
            <w:shd w:fill="CFC5D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Muted Lavender</w:t>
            </w:r>
          </w:p>
        </w:tc>
        <w:tc>
          <w:tcPr>
            <w:tcW w:type="dxa" w:w="3437"/>
            <w:shd w:fill="CFC5D8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#CFC5D8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Sekundärtext auf dunklen Flächen.</w:t>
            </w:r>
          </w:p>
        </w:tc>
      </w:tr>
      <w:tr>
        <w:tc>
          <w:tcPr>
            <w:tcW w:type="dxa" w:w="3437"/>
            <w:shd w:fill="24172E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Ink Plum</w:t>
            </w:r>
          </w:p>
        </w:tc>
        <w:tc>
          <w:tcPr>
            <w:tcW w:type="dxa" w:w="3437"/>
            <w:shd w:fill="24172E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F8F4FA"/>
              </w:rPr>
              <w:t>#24172E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Primärer Text auf hellen Flächen.</w:t>
            </w:r>
          </w:p>
        </w:tc>
      </w:tr>
      <w:tr>
        <w:tc>
          <w:tcPr>
            <w:tcW w:type="dxa" w:w="3437"/>
            <w:shd w:fill="F740A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Spectral Magenta</w:t>
            </w:r>
          </w:p>
        </w:tc>
        <w:tc>
          <w:tcPr>
            <w:tcW w:type="dxa" w:w="3437"/>
            <w:shd w:fill="F740A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#F740A7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Hauptakzent, Calls-to-Action und emotionale Energie.</w:t>
            </w:r>
          </w:p>
        </w:tc>
      </w:tr>
      <w:tr>
        <w:tc>
          <w:tcPr>
            <w:tcW w:type="dxa" w:w="3437"/>
            <w:shd w:fill="08D4F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Electric Cyan</w:t>
            </w:r>
          </w:p>
        </w:tc>
        <w:tc>
          <w:tcPr>
            <w:tcW w:type="dxa" w:w="3437"/>
            <w:shd w:fill="08D4F3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#08D4F3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Technik, Verbindung, Information und Interaktion.</w:t>
            </w:r>
          </w:p>
        </w:tc>
      </w:tr>
      <w:tr>
        <w:tc>
          <w:tcPr>
            <w:tcW w:type="dxa" w:w="3437"/>
            <w:shd w:fill="A146EE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Calculated Violet</w:t>
            </w:r>
          </w:p>
        </w:tc>
        <w:tc>
          <w:tcPr>
            <w:tcW w:type="dxa" w:w="3437"/>
            <w:shd w:fill="A146EE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#A146EE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Intelligenz, Tiefe und mathematische Struktur.</w:t>
            </w:r>
          </w:p>
        </w:tc>
      </w:tr>
      <w:tr>
        <w:tc>
          <w:tcPr>
            <w:tcW w:type="dxa" w:w="3437"/>
            <w:shd w:fill="568DF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Vector Blue</w:t>
            </w:r>
          </w:p>
        </w:tc>
        <w:tc>
          <w:tcPr>
            <w:tcW w:type="dxa" w:w="3437"/>
            <w:shd w:fill="568DF9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#568DF9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Brücke zwischen Cyan und Violett; Daten und Links.</w:t>
            </w:r>
          </w:p>
        </w:tc>
      </w:tr>
      <w:tr>
        <w:tc>
          <w:tcPr>
            <w:tcW w:type="dxa" w:w="3437"/>
            <w:shd w:fill="B7D92A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Acid Lime</w:t>
            </w:r>
          </w:p>
        </w:tc>
        <w:tc>
          <w:tcPr>
            <w:tcW w:type="dxa" w:w="3437"/>
            <w:shd w:fill="B7D92A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#B7D92A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Sparsame Überraschung, Status oder Mikroakzent.</w:t>
            </w:r>
          </w:p>
        </w:tc>
      </w:tr>
      <w:tr>
        <w:tc>
          <w:tcPr>
            <w:tcW w:type="dxa" w:w="3437"/>
            <w:shd w:fill="D6C65B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Soft Gold</w:t>
            </w:r>
          </w:p>
        </w:tc>
        <w:tc>
          <w:tcPr>
            <w:tcW w:type="dxa" w:w="3437"/>
            <w:shd w:fill="D6C65B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b/>
                <w:color w:val="24172E"/>
              </w:rPr>
              <w:t>#D6C65B</w:t>
            </w:r>
          </w:p>
        </w:tc>
        <w:tc>
          <w:tcPr>
            <w:tcW w:type="dxa" w:w="3437"/>
            <w:vAlign w:val="center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t>Premium-Akzent, Signatur und Glanz - sehr sparsam.</w:t>
            </w:r>
          </w:p>
        </w:tc>
      </w:tr>
    </w:tbl>
    <w:p/>
    <w:p>
      <w:pPr>
        <w:pStyle w:val="Heading1"/>
      </w:pPr>
      <w:r>
        <w:t>4. Typografie</w:t>
      </w:r>
    </w:p>
    <w:p>
      <w:pPr>
        <w:pStyle w:val="Heading2"/>
      </w:pPr>
      <w:r>
        <w:t>GFS Didot</w:t>
      </w:r>
    </w:p>
    <w:p>
      <w:r>
        <w:t>Display-Schrift für große Headlines, Zitate, Kampagnenzeilen und elegante Zahlen. Nicht für lange Absätze oder kleine UI-Texte.</w:t>
      </w:r>
    </w:p>
    <w:p>
      <w:pPr>
        <w:pStyle w:val="Heading2"/>
      </w:pPr>
      <w:r>
        <w:t>Dosis</w:t>
      </w:r>
    </w:p>
    <w:p>
      <w:r>
        <w:t>Text- und UI-Schrift in 400, 500 und 600. Für Navigation, Buttons, Fließtext, Daten und kleine Überschriften.</w:t>
      </w:r>
    </w:p>
    <w:p>
      <w:pPr>
        <w:pStyle w:val="Heading2"/>
      </w:pPr>
      <w:r>
        <w:t>Logo-Hinweis</w:t>
      </w:r>
    </w:p>
    <w:p>
      <w:r>
        <w:t>Die Webfont ersetzt nicht die individuelle Wortmarke. Das Logo bleibt eine Vektorgrafik.</w:t>
      </w:r>
    </w:p>
    <w:p/>
    <w:p>
      <w:pPr>
        <w:pStyle w:val="Heading1"/>
      </w:pPr>
      <w:r>
        <w:t>5. Grafische Sprache</w:t>
      </w:r>
    </w:p>
    <w:p>
      <w:pPr>
        <w:pStyle w:val="Heading2"/>
      </w:pPr>
      <w:r>
        <w:t>Chemie-Knoten</w:t>
      </w:r>
    </w:p>
    <w:p>
      <w:r>
        <w:t>Verbindungen und Community. Maximal ein kleines Netzwerk pro Layoutzone.</w:t>
      </w:r>
    </w:p>
    <w:p>
      <w:pPr>
        <w:pStyle w:val="Heading2"/>
      </w:pPr>
      <w:r>
        <w:t>Zirkel-A</w:t>
      </w:r>
    </w:p>
    <w:p>
      <w:r>
        <w:t>Eigenständiges Markenzeichen für Icon, Favicon und kleine Anwendungen.</w:t>
      </w:r>
    </w:p>
    <w:p>
      <w:pPr>
        <w:pStyle w:val="Heading2"/>
      </w:pPr>
      <w:r>
        <w:t>Messlinien und Kreisbögen</w:t>
      </w:r>
    </w:p>
    <w:p>
      <w:r>
        <w:t>Dünn und zurückhaltend. Nie durch wichtigen Fließtext legen.</w:t>
      </w:r>
    </w:p>
    <w:p>
      <w:pPr>
        <w:pStyle w:val="Heading2"/>
      </w:pPr>
      <w:r>
        <w:t>Sparks</w:t>
      </w:r>
    </w:p>
    <w:p>
      <w:r>
        <w:t>Lime oder Gold setzt genau einen überraschenden Moment.</w:t>
      </w:r>
    </w:p>
    <w:p>
      <w:pPr>
        <w:pStyle w:val="Heading2"/>
      </w:pPr>
      <w:r>
        <w:t>Glow</w:t>
      </w:r>
    </w:p>
    <w:p>
      <w:r>
        <w:t>Nur als optionaler Effektlayer mit geringer Deckkraft.</w:t>
      </w:r>
    </w:p>
    <w:p/>
    <w:p>
      <w:pPr>
        <w:pStyle w:val="Heading1"/>
      </w:pPr>
      <w:r>
        <w:t>6. Web</w:t>
      </w:r>
    </w:p>
    <w:p>
      <w:pPr>
        <w:pStyle w:val="Heading2"/>
      </w:pPr>
      <w:r>
        <w:t>Raster</w:t>
      </w:r>
    </w:p>
    <w:p>
      <w:r>
        <w:t>12 Spalten, großzügige Abstände, maximale Inhaltsbreite rund 1200 px.</w:t>
      </w:r>
    </w:p>
    <w:p>
      <w:pPr>
        <w:pStyle w:val="Heading2"/>
      </w:pPr>
      <w:r>
        <w:t>Komponenten</w:t>
      </w:r>
    </w:p>
    <w:p>
      <w:r>
        <w:t>Primärer CTA in Magenta, sekundäre Aktionen in Cyan, Cards auf Nebula Surface oder weißer Fläche.</w:t>
      </w:r>
    </w:p>
    <w:p>
      <w:pPr>
        <w:pStyle w:val="Heading2"/>
      </w:pPr>
      <w:r>
        <w:t>Barrierearm</w:t>
      </w:r>
    </w:p>
    <w:p>
      <w:r>
        <w:t>Kontrast, Tastaturbedienung, sichtbare Fokuszustände, mobile Prüfung und reduzierte Bewegung beachten.</w:t>
      </w:r>
    </w:p>
    <w:p/>
    <w:p>
      <w:pPr>
        <w:pStyle w:val="Heading1"/>
      </w:pPr>
      <w:r>
        <w:t>7. Druck</w:t>
      </w:r>
    </w:p>
    <w:p>
      <w:pPr>
        <w:pStyle w:val="Heading2"/>
      </w:pPr>
      <w:r>
        <w:t>Druckdaten</w:t>
      </w:r>
    </w:p>
    <w:p>
      <w:r>
        <w:t>3 mm Beschnitt, Bilder möglichst 300 ppi, keine Haarlinien unter 0,25 pt.</w:t>
      </w:r>
    </w:p>
    <w:p>
      <w:pPr>
        <w:pStyle w:val="Heading2"/>
      </w:pPr>
      <w:r>
        <w:t>Farbmanagement</w:t>
      </w:r>
    </w:p>
    <w:p>
      <w:r>
        <w:t>Die Markenwerte sind RGB-Hexwerte. Für Offsetdruck mit dem ICC-Profil der Druckerei in CMYK konvertieren und Proof prüfen.</w:t>
      </w:r>
    </w:p>
    <w:p>
      <w:pPr>
        <w:pStyle w:val="Heading2"/>
      </w:pPr>
      <w:r>
        <w:t>Schriften</w:t>
      </w:r>
    </w:p>
    <w:p>
      <w:r>
        <w:t>In PDF einbetten oder für finale Druckdaten in Pfade umwandeln.</w:t>
      </w:r>
    </w:p>
    <w:p/>
    <w:p>
      <w:pPr>
        <w:pStyle w:val="Heading1"/>
      </w:pPr>
      <w:r>
        <w:t>8. Lizenz</w:t>
      </w:r>
    </w:p>
    <w:p>
      <w:pPr>
        <w:pStyle w:val="Heading2"/>
      </w:pPr>
      <w:r>
        <w:t>Korrekte Einordnung</w:t>
      </w:r>
    </w:p>
    <w:p>
      <w:r>
        <w:t>GFS Didot und Dosis sind nicht urheberrechtsfrei, aber unter SIL Open Font License 1.1 frei nutzbar. Nutzung und Einbettung sind unter den Lizenzbedingungen erlaubt.</w:t>
      </w:r>
    </w:p>
    <w:p>
      <w:pPr>
        <w:pStyle w:val="Heading2"/>
      </w:pPr>
      <w:r>
        <w:t>Self-Hosting</w:t>
      </w:r>
    </w:p>
    <w:p>
      <w:r>
        <w:t>Für Produktionswebsites WOFF2-Dateien selbst hosten und die jeweilige OFL.txt bei den Fontdateien behalten.</w:t>
      </w:r>
    </w:p>
    <w:p>
      <w:pPr>
        <w:pStyle w:val="Heading2"/>
      </w:pPr>
      <w:r>
        <w:t>Paket</w:t>
      </w:r>
    </w:p>
    <w:p>
      <w:r>
        <w:t>Dieses Paket enthält keine Fontdateien, sondern Bezugs- und Nutzungshinweise.</w:t>
      </w:r>
    </w:p>
    <w:p/>
    <w:p>
      <w:pPr>
        <w:pStyle w:val="Heading1"/>
      </w:pPr>
      <w:r>
        <w:t>9. Beiliegende Anwendungen</w:t>
      </w:r>
    </w:p>
    <w:p>
      <w:r>
        <w:t>Web: responsive Hero-Sektion und Eventkarte in web/index.html mit web/styles.css.</w:t>
      </w:r>
    </w:p>
    <w:p>
      <w:r>
        <w:t>Print: A4-Poster und A6-Karte jeweils als druckfähige PDF mit 3 mm Beschnitt sowie als editierbare SVG.</w:t>
      </w:r>
    </w:p>
    <w:p>
      <w:pPr>
        <w:pStyle w:val="Heading1"/>
      </w:pPr>
      <w:r>
        <w:t>10. Pflege-Checkliste</w:t>
      </w:r>
    </w:p>
    <w:p>
      <w:pPr>
        <w:pStyle w:val="ListBullet"/>
      </w:pPr>
      <w:r>
        <w:t>Logo als Master-SVG pflegen; PNG nur exportieren, nie als Ausgangsdatei bearbeiten.</w:t>
      </w:r>
    </w:p>
    <w:p>
      <w:pPr>
        <w:pStyle w:val="ListBullet"/>
      </w:pPr>
      <w:r>
        <w:t>Farben ausschließlich über die definierten Tokens einsetzen.</w:t>
      </w:r>
    </w:p>
    <w:p>
      <w:pPr>
        <w:pStyle w:val="ListBullet"/>
      </w:pPr>
      <w:r>
        <w:t>GFS Didot für Display, Dosis für Text und UI; keine dritte Standardschrift ergänzen.</w:t>
      </w:r>
    </w:p>
    <w:p>
      <w:pPr>
        <w:pStyle w:val="ListBullet"/>
      </w:pPr>
      <w:r>
        <w:t>Ein dunkles und ein helles Basistheme zulassen - nicht jede Anwendung muss schwarz sein.</w:t>
      </w:r>
    </w:p>
    <w:p>
      <w:pPr>
        <w:pStyle w:val="ListBullet"/>
      </w:pPr>
      <w:r>
        <w:t>Dekoration nach Inhalt platzieren; keine Knoten oder Messlinien durch wichtige Texte.</w:t>
      </w:r>
    </w:p>
    <w:p>
      <w:pPr>
        <w:pStyle w:val="ListBullet"/>
      </w:pPr>
      <w:r>
        <w:t>Neue Komponenten zuerst in der CI-Übersicht dokumentieren, dann in Projekten verwenden.</w:t>
      </w:r>
    </w:p>
    <w:p>
      <w:pPr>
        <w:pStyle w:val="ListBullet"/>
      </w:pPr>
      <w:r>
        <w:t>Vor Druck: Beschnitt, PDF-Einbettung, Farbprofil und Prüfdruck kontrollieren.</w:t>
      </w:r>
    </w:p>
    <w:p>
      <w:pPr>
        <w:pStyle w:val="ListBullet"/>
      </w:pPr>
      <w:r>
        <w:t>Vor Web-Launch: Kontrast, Tastaturbedienung, mobile Ansichten und Ladezeit testen.</w:t>
      </w:r>
    </w:p>
    <w:p>
      <w:r>
        <w:t>Hinweis: Diese Übersicht ist keine Rechtsberatung.</w:t>
      </w:r>
    </w:p>
    <w:sectPr w:rsidR="00FC693F" w:rsidRPr="0006063C" w:rsidSect="00034616">
      <w:pgSz w:w="12240" w:h="15840"/>
      <w:pgMar w:top="964" w:right="964" w:bottom="850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osis" w:hAnsi="Dosis" w:eastAsia="Dosis"/>
      <w:color w:val="24172E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GFS Didot" w:hAnsi="GFS Didot" w:eastAsia="GFS Didot"/>
      <w:b/>
      <w:bCs/>
      <w:color w:val="24172E"/>
      <w:sz w:val="5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GFS Didot" w:hAnsi="GFS Didot" w:eastAsia="GFS Didot"/>
      <w:b/>
      <w:bCs/>
      <w:color w:val="24172E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osis" w:hAnsi="Dosis" w:eastAsia="Dosis"/>
      <w:b/>
      <w:bCs/>
      <w:color w:val="F740A7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GFS Didot" w:hAnsi="GFS Didot" w:eastAsia="GFS Didot"/>
      <w:color w:val="24172E"/>
      <w:spacing w:val="5"/>
      <w:kern w:val="28"/>
      <w:sz w:val="7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